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157</w:t>
      </w:r>
    </w:p>
    <w:p>
      <w:r>
        <w:t>Bundesgericht (BGE), 1975-06-30, DE</w:t>
      </w:r>
    </w:p>
    <w:p>
      <w:r>
        <w:rPr>
          <w:b/>
        </w:rPr>
        <w:t xml:space="preserve">Quelle: </w:t>
      </w:r>
      <w:r>
        <w:t>https://mcp.opencaselaw.ch/entscheid/bge_101 V 157</w:t>
      </w:r>
    </w:p>
    <w:p>
      <w:r>
        <w:t>FR: ATF 101 V 157</w:t>
      </w:r>
    </w:p>
    <w:p>
      <w:r>
        <w:t>IT: DTF 101 V 157</w:t>
      </w:r>
    </w:p>
    <w:p>
      <w:pPr>
        <w:pStyle w:val="Heading2"/>
      </w:pPr>
      <w:r>
        <w:t>Regeste</w:t>
      </w:r>
    </w:p>
    <w:p>
      <w:r>
        <w:t>Regeste Zusammenfallen einer Rente der obligatorischen Unfallversicherung mit einer Rente der Invalidenversicherung (Art. 29 Abs. 1 und 45 Abs. 1 IVG, Art. 39bis Abs. 3 lit. b IVV). - Anders als in der AHV (vgl. BGE 100 V 208) entsteht der Rentenanspruch in der Invalidenversicherung nicht am nächsten Monatsbeginn nach Eintritt des anspruchsbegründenden Sachverhaltes, sondern gleich am Tage dieses Ereignisses. - Sowohl in der AHV als auch in der Invalidenversicherung entsteht der Rentenanspruch von Gesetzes wegen. Die Kassenverfügung hat nicht konstitutiven Charakter.</w:t>
      </w:r>
    </w:p>
    <w:p>
      <w:pPr>
        <w:pStyle w:val="Heading2"/>
      </w:pPr>
      <w:r>
        <w:t>Erwägungen</w:t>
      </w:r>
    </w:p>
    <w:p>
      <w:r>
        <w:rPr>
          <w:b/>
        </w:rPr>
        <w:t>E. 1</w:t>
      </w:r>
    </w:p>
    <w:p>
      <w:r>
        <w:t>Streitig ist heute allein, ob die Altersrente der Marguerite Romann, die diese vom September 1971 hinweg bezogen hat, für die Frage nach der Kürzung der SUVA-Rente im Sinne von Art. 45 Abs. 1 IVG angerechnet werden muss. Nach Art. 45 Abs. 1 IVG werden die Renten der SUVA und der Militärversicherung gekürzt, soweit diese zusammen mit der Rente der Invalidenversicherung den entgangenen mutmasslichen Jahresverdienst übersteigen. Bei der Ermittlung, ob dies der Fall ist, darf gemäss Art. 39bis Abs. 3 lit. b nicht angerechnet werden der Betrag, den die Ehefrau des Versicherten "vor Entstehen der Ehepaar-Invalidenrente" als Invaliden- oder Altersrente unter Einschluss allfälliger Zusatzrenten bezogen hat. Es fragt sich, was unter dem Begriff "Entstehen der Ehepaar-Invalidenrente" zu verstehen ist. BGE 101 V 157 S. 160 Grundvoraussetzung für den Bezug von Versicherungsleistungen ist das Rechtsverhältnis des Versicherungsfalles. Vom Eintritt des Versicherungsfalles zu unterscheiden ist die Erfüllung des leistungsbegründenden Sachverhalts. Dieser umfasst alle jene Elemente, die in tatbeständlicher Hinsicht gegeben sein müssen, damit der Versicherungsfall überhaupt eintreten kann. Der Zeitpunkt des Eintritts des Versicherungsfalles und jener der Erfüllung des anspruchsbegründenden Sachverhalts sind nicht ohne weiteres identisch. Mit andern Worten beinhaltet der leistungsbegründende Sachverhalt noch kein Rechtsverhältnis. Den Zeitpunkt, da dieses beginnt, umschreibt das Gesetz regelmässig in der Weise, dass es erklärt, wann der Leistungsanspruch "entsteht". Wenn in der Invalidenversicherung die Entstehung des Anspruchs auf eine Invalidenrente unabhängig von einem bestimmten Monatstag auf jenen Zeitpunkt festgelegt wird, da die erwerbliche Beeinträchtigung eine gewisse Intensität erreicht hat (vgl. Art. 29 Abs. 1 IVG ), so stimmen hier der Zeitpunkt des anspruchsbegründenden Sachverhalts und jener der Entstehung des Rechtsverhältnisses von Gesetzes wegen überein. Anders verhält es sich in der AHV, wo der Anspruch auf Alters- und Hinterlassenen-Rente nach dem gesetzlichen Wortlaut am ersten Tag des Monats "entsteht", der auf jenen Monat folgt, in welchem sich der anspruchsbegründende Sachverhalt (Erreichen des Rentenalters bzw. Tod des Ehemannes, des Vaters oder der Mutter) verwirklicht hat (vgl. Art. 21 Abs. 2, 22 Abs. 3, 23 Abs. 3, 25 Abs. 2 und 26 Abs. 2 AHVG; BGE 100 V 208 ). Der Anspruch auf eine Rente der AHV oder der Invalidenversicherung entsteht demnach von Gesetzes wegen, sobald nach Erfüllung des leistungsbegründenden Sachverhalts der Versicherungsfall eingetreten ist. Er besteht unabhängig von der Kassenverfügung und wird nicht erst durch diese begründet. Die Verfügung hat keinen konstitutiven Charakter. Mit ihr gewährt die Kasse nicht einen Rentenanspruch, sondern sie stellt lediglich fest, ob und allenfalls wann der Versicherungsfall sich verwirklicht hat.</w:t>
      </w:r>
    </w:p>
    <w:p>
      <w:r>
        <w:rPr>
          <w:b/>
        </w:rPr>
        <w:t>E. 2</w:t>
      </w:r>
    </w:p>
    <w:p>
      <w:r>
        <w:t>Der Anspruch der Marguerite Romann auf die einfache Altersrente ist am 1. September 1971 entstanden, was unbestritten ist. Hinsichtlich der Ehepaar-IV-Rente hat die Ausgleichskasse wohl erst am 6. März 1972 verfügt. Dieser Verwaltungsakt hatte aber die rückwirkende Feststellung zum BGE 101 V 157 S. 161 Gegenstand, dass der Rentenanspruch am 1. Mai 1971 entstanden sei. War somit der Anspruch auf die einfache Altersrente der Ehefrau nach der Ehepaar-IV-Rente entstanden, so besteht kein Raum für die Anwendung von Art. 39bis Abs. 3 lit. b IVV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